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SI-SAMU-NIVSOIN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>Description : Décrit le niveau de prise en charge exigé.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MED</w:t>
            </w:r>
          </w:p>
        </w:tc>
        <w:tc>
          <w:tcPr>
            <w:tcW w:type="dxa" w:w="1440"/>
          </w:tcPr>
          <w:p>
            <w:r>
              <w:t>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est composé d'au moins un médecin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PARAMED</w:t>
            </w:r>
          </w:p>
        </w:tc>
        <w:tc>
          <w:tcPr>
            <w:tcW w:type="dxa" w:w="1440"/>
          </w:tcPr>
          <w:p>
            <w:r>
              <w:t>Paramédicalisé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ne comporte pas de médecin. Il est uniquement composé d'infirmier(e)s.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SECOURS</w:t>
            </w:r>
          </w:p>
        </w:tc>
        <w:tc>
          <w:tcPr>
            <w:tcW w:type="dxa" w:w="1440"/>
          </w:tcPr>
          <w:p>
            <w:r>
              <w:t>Secouriste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ne comporte que des secouristes professionnnels ni médecin, ni infimier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44C4E9-AA58-457B-8632-2657CE422BF3}"/>
</file>

<file path=customXml/itemProps3.xml><?xml version="1.0" encoding="utf-8"?>
<ds:datastoreItem xmlns:ds="http://schemas.openxmlformats.org/officeDocument/2006/customXml" ds:itemID="{4B834C7A-4769-4D6F-9293-E70687673E69}"/>
</file>

<file path=customXml/itemProps4.xml><?xml version="1.0" encoding="utf-8"?>
<ds:datastoreItem xmlns:ds="http://schemas.openxmlformats.org/officeDocument/2006/customXml" ds:itemID="{2C3A4690-20D4-4520-BF30-84F20CFE84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